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2CBB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2"/>
      <w:bookmarkStart w:id="1" w:name="OLE_LINK11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16bis</w:t>
      </w:r>
      <w:r>
        <w:rPr>
          <w:rFonts w:hint="eastAsia"/>
          <w:b/>
          <w:sz w:val="24"/>
          <w:szCs w:val="24"/>
          <w:highlight w:val="none"/>
        </w:rPr>
        <w:t xml:space="preserve">               </w:t>
      </w:r>
      <w:r>
        <w:rPr>
          <w:b/>
          <w:sz w:val="24"/>
          <w:szCs w:val="24"/>
          <w:highlight w:val="none"/>
        </w:rPr>
        <w:t xml:space="preserve">           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513666</w:t>
      </w:r>
      <w:r>
        <w:rPr>
          <w:b/>
          <w:sz w:val="24"/>
          <w:szCs w:val="24"/>
          <w:highlight w:val="none"/>
        </w:rPr>
        <w:t xml:space="preserve">           </w:t>
      </w:r>
    </w:p>
    <w:bookmarkEnd w:id="0"/>
    <w:bookmarkEnd w:id="1"/>
    <w:p w14:paraId="5C25862B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Prague, Czech Republic, Oct. 13-17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,</w:t>
      </w:r>
      <w:r>
        <w:rPr>
          <w:rFonts w:hint="eastAsia" w:eastAsia="宋体" w:cs="Times New Roman"/>
          <w:b/>
          <w:bCs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2025</w:t>
      </w:r>
    </w:p>
    <w:p w14:paraId="5E1118E0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258FEDE0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14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5</w:t>
      </w:r>
    </w:p>
    <w:p w14:paraId="3CDEEB51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1796E118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4"/>
      <w:bookmarkStart w:id="3" w:name="OLE_LINK23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demodulation performance requirements for Ambient-IoT BS</w:t>
      </w:r>
    </w:p>
    <w:bookmarkEnd w:id="4"/>
    <w:bookmarkEnd w:id="5"/>
    <w:p w14:paraId="02A05ED5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829441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C7735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#107 meeting, the revised WID on Solutions for Ambient IoT (Internet of Things) in NR was approved [1]. According to the WID, the objectives of RAN4 scope are duplicated as following.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06AC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61FAD0BE">
            <w:pPr>
              <w:numPr>
                <w:ilvl w:val="0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  <w:t>RAN4 scope:</w:t>
            </w:r>
          </w:p>
          <w:p w14:paraId="5931C61B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RF requirements for Ambient-IoT BS, device 1, and CW</w:t>
            </w:r>
          </w:p>
          <w:p w14:paraId="08874F73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Type 1-C Ambient-IoT BS</w:t>
            </w:r>
          </w:p>
          <w:p w14:paraId="17215131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device 1</w:t>
            </w:r>
          </w:p>
          <w:p w14:paraId="69775E5A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CW</w:t>
            </w:r>
          </w:p>
          <w:p w14:paraId="173D3E69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RRM core requirements for device 1, if necessary</w:t>
            </w:r>
          </w:p>
          <w:p w14:paraId="47F85BD2">
            <w:pPr>
              <w:numPr>
                <w:ilvl w:val="1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Study and develop OTA test methodology for A-IoT device 1</w:t>
            </w:r>
          </w:p>
          <w:p w14:paraId="534AE075">
            <w:pPr>
              <w:numPr>
                <w:ilvl w:val="2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Consider test methods specified in TR 38.870 as starting point. Take test system reuse, test system complexity and test time into account, when developing test methods suitable for Ambient IoT.</w:t>
            </w:r>
          </w:p>
          <w:p w14:paraId="69BCB3A6">
            <w:pPr>
              <w:numPr>
                <w:ilvl w:val="2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Develop the preliminary Measurement Uncertainty (MU) assessment for the test system</w:t>
            </w:r>
          </w:p>
          <w:p w14:paraId="5325F8A0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Use band n8 as an example band</w:t>
            </w:r>
          </w:p>
        </w:tc>
      </w:tr>
    </w:tbl>
    <w:p w14:paraId="3B02A2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20A48E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demodulation performance requirements for Ambient-IoT BS, and a WF was approved [2]. This </w:t>
      </w:r>
      <w:r>
        <w:rPr>
          <w:rFonts w:hint="eastAsia" w:ascii="Times New Roman" w:hAnsi="Times New Roman"/>
          <w:sz w:val="20"/>
          <w:szCs w:val="20"/>
        </w:rPr>
        <w:t>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this topic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779163C4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F85C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9331" w:type="dxa"/>
          </w:tcPr>
          <w:p w14:paraId="3F60925A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  <w:t>Issue 3-1: Whether to define PDRCH demodulation requirement for Ambient-IoT</w:t>
            </w:r>
          </w:p>
          <w:p w14:paraId="76DB525F">
            <w:pPr>
              <w:pStyle w:val="13"/>
              <w:numPr>
                <w:ilvl w:val="0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  <w:t>Way forward</w:t>
            </w:r>
          </w:p>
          <w:p w14:paraId="56F3F1E2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Option 1: Define PDRCH demodulation requirement.</w:t>
            </w:r>
          </w:p>
          <w:p w14:paraId="5BDE4261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Option 2: Not define PDRCH demodulation requirements</w:t>
            </w:r>
          </w:p>
        </w:tc>
      </w:tr>
    </w:tbl>
    <w:p w14:paraId="2F257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7181E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For the open issue on whether to define PDRCH demodulation requirements for Ambient-IoT BS, we prefer to follow legacy way to define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PDRCH demodulation requirement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to guarantee the performance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</w:p>
    <w:p w14:paraId="0AA4E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Proposal 1: it is proposed to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highlight w:val="none"/>
          <w:lang w:val="en-US" w:eastAsia="zh-CN"/>
        </w:rPr>
        <w:t>define PDRCH demodulation requirements for Ambient-IoT</w:t>
      </w: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BS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to guarantee the performance</w:t>
      </w:r>
      <w:r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87F1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246CA6B3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  <w:t>Issue 3-2: D2R message type for testing</w:t>
            </w:r>
          </w:p>
          <w:p w14:paraId="7743DAB8">
            <w:pPr>
              <w:pStyle w:val="13"/>
              <w:numPr>
                <w:ilvl w:val="0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  <w:t>Way forward</w:t>
            </w:r>
          </w:p>
          <w:p w14:paraId="012ABFCE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>Option 1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: Define PDRCH demodulation requirements with Message 1 reception</w:t>
            </w:r>
          </w:p>
          <w:p w14:paraId="77C31710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Option 2: Define PDRCH demodulation requirements with Message 3 reception</w:t>
            </w:r>
          </w:p>
          <w:p w14:paraId="058016CA">
            <w:pPr>
              <w:pStyle w:val="13"/>
              <w:numPr>
                <w:ilvl w:val="0"/>
                <w:numId w:val="0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left="720" w:left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</w:p>
          <w:p w14:paraId="17A69DDC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3-16: Test methodology</w:t>
            </w:r>
          </w:p>
          <w:p w14:paraId="6D7855E3">
            <w:pPr>
              <w:pStyle w:val="13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Agreement</w:t>
            </w:r>
          </w:p>
          <w:p w14:paraId="0D62989E">
            <w:pPr>
              <w:pStyle w:val="13"/>
              <w:numPr>
                <w:ilvl w:val="0"/>
                <w:numId w:val="5"/>
              </w:numPr>
              <w:spacing w:after="120"/>
              <w:ind w:left="1080" w:firstLineChars="0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10% BLER with </w:t>
            </w:r>
            <m:oMath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  <w:lang w:val="en-US" w:eastAsia="zh-CN"/>
                </w:rPr>
                <m:t xml:space="preserve">BLER=1− </m:t>
              </m:r>
              <m:f>
                <m:fP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  <w:lang w:val="en-US" w:eastAsia="zh-CN"/>
                    </w:rPr>
                    <m:t>Number of responsed Message 2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  <w:lang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  <w:lang w:val="en-US" w:eastAsia="zh-CN"/>
                    </w:rPr>
                    <m:t xml:space="preserve">Number of transmitted Message 1 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  <w:lang w:eastAsia="zh-CN"/>
                    </w:rPr>
                  </m:ctrlPr>
                </m:den>
              </m:f>
            </m:oMath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for testing</w:t>
            </w:r>
          </w:p>
          <w:p w14:paraId="0A70EB45">
            <w:pPr>
              <w:pStyle w:val="13"/>
              <w:numPr>
                <w:ilvl w:val="0"/>
                <w:numId w:val="0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During countering the number of responded Message 2, the TE should check if the responded Message 2 is the correct response of Message 1.</w:t>
            </w:r>
          </w:p>
        </w:tc>
      </w:tr>
    </w:tbl>
    <w:p w14:paraId="2E2C5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2F3B9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For issue 3-2, both options are workable. From the perspective of test simplification, it is preferred to define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PDRCH demodulation requirements with Message 1 reception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On the other hand, issue 3-2 and issue 3-16 are combined. With the agreements in issue 3-16, it is natural to define 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PDRCH demodulation requirements with Message 1 reception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in issue 3-2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</w:p>
    <w:p w14:paraId="6BFB5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Proposal 2: it is proposed to define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PDRCH demodulation requirements with Message 1 reception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. 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010FE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713E7AA7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  <w:t>Issue 3-11: SFO assumption</w:t>
            </w:r>
          </w:p>
          <w:p w14:paraId="04F45BF2">
            <w:pPr>
              <w:pStyle w:val="13"/>
              <w:numPr>
                <w:ilvl w:val="0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  <w:t>Way forward</w:t>
            </w:r>
          </w:p>
          <w:p w14:paraId="2D780F62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Option 1: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vertAlign w:val="superscript"/>
                <w:lang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 xml:space="preserve"> ppm~10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vertAlign w:val="superscript"/>
                <w:lang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 xml:space="preserve"> ppm</w:t>
            </w:r>
          </w:p>
          <w:p w14:paraId="30B93866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Other options</w:t>
            </w:r>
          </w:p>
        </w:tc>
      </w:tr>
    </w:tbl>
    <w:p w14:paraId="17D5C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674DE5B1">
      <w:pP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sz w:val="20"/>
          <w:szCs w:val="20"/>
          <w:lang w:val="en-US" w:eastAsia="zh-CN"/>
        </w:rPr>
        <w:t>10</w:t>
      </w:r>
      <w:r>
        <w:rPr>
          <w:rFonts w:hint="default" w:ascii="Times New Roman" w:hAnsi="Times New Roman" w:eastAsia="等线" w:cs="Times New Roman"/>
          <w:sz w:val="20"/>
          <w:szCs w:val="20"/>
          <w:vertAlign w:val="superscript"/>
          <w:lang w:val="en-US" w:eastAsia="zh-CN"/>
        </w:rPr>
        <w:t>5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zh-CN"/>
        </w:rPr>
        <w:t xml:space="preserve"> PPM as assumed for device 1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 xml:space="preserve"> in RF discussion. It is proposed to follow RF conclusion to adopt 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lang w:eastAsia="zh-CN"/>
        </w:rPr>
        <w:t>10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vertAlign w:val="superscript"/>
          <w:lang w:eastAsia="zh-CN"/>
        </w:rPr>
        <w:t>4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lang w:eastAsia="zh-CN"/>
        </w:rPr>
        <w:t xml:space="preserve"> ppm~10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vertAlign w:val="superscript"/>
          <w:lang w:eastAsia="zh-CN"/>
        </w:rPr>
        <w:t>5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lang w:eastAsia="zh-CN"/>
        </w:rPr>
        <w:t xml:space="preserve"> ppm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>as SFO assumption to define PDRCH requirements.</w:t>
      </w:r>
    </w:p>
    <w:p w14:paraId="34FCBD0D">
      <w:pPr>
        <w:rPr>
          <w:rFonts w:hint="default" w:ascii="Times New Roman" w:hAnsi="Times New Roman" w:eastAsia="等线" w:cs="Times New Roman"/>
          <w:sz w:val="20"/>
          <w:szCs w:val="20"/>
          <w:lang w:val="en-US" w:eastAsia="zh-CN"/>
        </w:rPr>
      </w:pPr>
    </w:p>
    <w:p w14:paraId="1759C1DE">
      <w:pPr>
        <w:rPr>
          <w:rFonts w:hint="default"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/>
        </w:rPr>
        <w:t xml:space="preserve">Proposal 3: for SFO assumption, it is proposed to use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eastAsia="zh-CN"/>
        </w:rPr>
        <w:t>10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vertAlign w:val="superscript"/>
          <w:lang w:eastAsia="zh-CN"/>
        </w:rPr>
        <w:t>4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eastAsia="zh-CN"/>
        </w:rPr>
        <w:t xml:space="preserve"> ppm~10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vertAlign w:val="superscript"/>
          <w:lang w:eastAsia="zh-CN"/>
        </w:rPr>
        <w:t>5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eastAsia="zh-CN"/>
        </w:rPr>
        <w:t xml:space="preserve"> ppm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.</w:t>
      </w:r>
    </w:p>
    <w:p w14:paraId="75616E84">
      <w:pPr>
        <w:rPr>
          <w:rFonts w:hint="default" w:ascii="Times New Roman" w:hAnsi="Times New Roman" w:eastAsia="等线" w:cs="Times New Roman"/>
          <w:sz w:val="20"/>
          <w:szCs w:val="20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2DDA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357A30C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val="en-US" w:eastAsia="zh-CN"/>
              </w:rPr>
              <w:t>Issue 3-15: Channel model</w:t>
            </w:r>
          </w:p>
          <w:p w14:paraId="4416E4FE">
            <w:pPr>
              <w:pStyle w:val="13"/>
              <w:numPr>
                <w:ilvl w:val="0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eastAsia="zh-CN"/>
              </w:rPr>
              <w:t>Way forward</w:t>
            </w:r>
          </w:p>
          <w:p w14:paraId="3D5BB1C0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Option 1: TDL-A30-10</w:t>
            </w:r>
          </w:p>
          <w:p w14:paraId="6E22F310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Other options are precluded </w:t>
            </w:r>
          </w:p>
        </w:tc>
      </w:tr>
    </w:tbl>
    <w:p w14:paraId="1C136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519A6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According to the WID, for Rel-19 Ambient IoT, the target scenario is indoor deployment scenario (D1). it is expected that device is stationary or in very low mobility. It is valid to adopt TDLA30-10 to define PDRCH demodulation requirements.</w:t>
      </w:r>
    </w:p>
    <w:p w14:paraId="0AE90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4: it is proposed to adopt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TDLA30-10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to define PDRCH requirements.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318F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473FD63F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  <w:t>Issue 3-17: Specification structure</w:t>
            </w:r>
          </w:p>
          <w:p w14:paraId="770B1C81">
            <w:pPr>
              <w:pStyle w:val="13"/>
              <w:numPr>
                <w:ilvl w:val="0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highlight w:val="none"/>
                <w:lang w:eastAsia="zh-CN"/>
              </w:rPr>
              <w:t>Way forward</w:t>
            </w:r>
          </w:p>
          <w:p w14:paraId="0051771B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>Option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 1: Specify the Ambient IoT BS demodulation requirements in “Ambient IoT Base Station (BS) and Carrier-Wave (CW) node radio transmission and reception” and “Ambient IoT Base Station (BS) and Carrier-Wave (CW) node conformance testing” if RAN4 agreed to define the Ambient IoT BS demodulation requirements.</w:t>
            </w:r>
          </w:p>
          <w:p w14:paraId="52BB7504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Option 2: The demodulation requirements can be captured in clause 10 of TS 38.194/195.</w:t>
            </w:r>
          </w:p>
        </w:tc>
      </w:tr>
    </w:tbl>
    <w:p w14:paraId="09A8A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7080A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We do not think these two options are contradict. TS 38.194 is for Ambient IoT Base Station (BS) and Carrier-Wave (CW) node radio transmission and reception, and can be used to capture demodulation requirements for Ambient IoT Base Station (BS). </w:t>
      </w:r>
    </w:p>
    <w:p w14:paraId="12996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Proposal 5: t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he demodulation requirements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for Ambient IoT Base Station (BS) is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 captured in TS 38.19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4.</w:t>
      </w:r>
    </w:p>
    <w:p w14:paraId="7CA80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bookmarkEnd w:id="6"/>
    <w:bookmarkEnd w:id="7"/>
    <w:p w14:paraId="046857AF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8" w:name="_GoBack"/>
      <w:bookmarkEnd w:id="8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7F3A70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demodulation performance requirements for Ambient-IoT BS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2B521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Proposal 1: it is proposed to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highlight w:val="none"/>
          <w:lang w:val="en-US" w:eastAsia="zh-CN"/>
        </w:rPr>
        <w:t>define PDRCH demodulation requirements for Ambient-IoT</w:t>
      </w: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BS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to guarantee the performance</w:t>
      </w:r>
      <w:r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 w14:paraId="1548F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Proposal 2: it is proposed to define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PDRCH demodulation requirements with Message 1 reception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. .</w:t>
      </w:r>
    </w:p>
    <w:p w14:paraId="3FB98ED7">
      <w:pP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/>
          <w:iCs/>
          <w:sz w:val="20"/>
          <w:szCs w:val="20"/>
          <w:lang w:val="en-US" w:eastAsia="zh-CN"/>
        </w:rPr>
        <w:t xml:space="preserve">Proposal 3: for SFO assumption, it is proposed to use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eastAsia="zh-CN"/>
        </w:rPr>
        <w:t>10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vertAlign w:val="superscript"/>
          <w:lang w:eastAsia="zh-CN"/>
        </w:rPr>
        <w:t>4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eastAsia="zh-CN"/>
        </w:rPr>
        <w:t xml:space="preserve"> ppm~10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vertAlign w:val="superscript"/>
          <w:lang w:eastAsia="zh-CN"/>
        </w:rPr>
        <w:t>5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eastAsia="zh-CN"/>
        </w:rPr>
        <w:t xml:space="preserve"> ppm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.</w:t>
      </w:r>
    </w:p>
    <w:p w14:paraId="30D439FC">
      <w:pPr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</w:p>
    <w:p w14:paraId="5AF59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4: it is proposed to adopt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TDLA30-10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to define PDRCH requirements. </w:t>
      </w:r>
    </w:p>
    <w:p w14:paraId="3144D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Proposal 5: t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he demodulation requirements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for Ambient IoT Base Station (BS) is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 captured in TS 38.19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4.</w:t>
      </w:r>
    </w:p>
    <w:p w14:paraId="6D7AD746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</w:p>
    <w:p w14:paraId="54BE5A42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1C60A1B9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50796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Revised WID: New Work Item: Solutions for Ambient IoT (Internet of Things) in NR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CMCC, Huawei, T-Mobile USA Inc</w:t>
      </w:r>
    </w:p>
    <w:p w14:paraId="00B2099E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12603, </w:t>
      </w:r>
      <w:r>
        <w:rPr>
          <w:rFonts w:hint="eastAsia" w:ascii="Times" w:hAnsi="Times" w:eastAsia="宋体"/>
          <w:b w:val="0"/>
          <w:sz w:val="20"/>
          <w:lang w:eastAsia="zh-CN"/>
        </w:rPr>
        <w:t>Way Forward for [116][335] A-IoT_demod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Huawei, CMCC</w:t>
      </w:r>
    </w:p>
    <w:p w14:paraId="24E42CB0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231A50B7">
      <w:pPr>
        <w:pStyle w:val="14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0A523C19">
      <w:pPr>
        <w:pStyle w:val="14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0EEF2378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242694D"/>
    <w:multiLevelType w:val="multilevel"/>
    <w:tmpl w:val="2242694D"/>
    <w:lvl w:ilvl="0" w:tentative="0">
      <w:start w:val="1"/>
      <w:numFmt w:val="bullet"/>
      <w:lvlText w:val="o"/>
      <w:lvlJc w:val="left"/>
      <w:pPr>
        <w:ind w:left="1500" w:hanging="42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-"/>
      <w:lvlJc w:val="left"/>
      <w:pPr>
        <w:ind w:left="1920" w:hanging="420"/>
      </w:pPr>
      <w:rPr>
        <w:rFonts w:hint="default" w:ascii="宋体" w:hAnsi="宋体"/>
      </w:rPr>
    </w:lvl>
    <w:lvl w:ilvl="2" w:tentative="0">
      <w:start w:val="1"/>
      <w:numFmt w:val="bullet"/>
      <w:lvlText w:val=""/>
      <w:lvlJc w:val="left"/>
      <w:pPr>
        <w:ind w:left="23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7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60" w:hanging="420"/>
      </w:pPr>
      <w:rPr>
        <w:rFonts w:hint="default" w:ascii="Wingdings" w:hAnsi="Wingdings"/>
      </w:rPr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4508A"/>
    <w:rsid w:val="01AF6A99"/>
    <w:rsid w:val="03EA2651"/>
    <w:rsid w:val="067803E8"/>
    <w:rsid w:val="06A50B76"/>
    <w:rsid w:val="06BB2083"/>
    <w:rsid w:val="08375E63"/>
    <w:rsid w:val="08511850"/>
    <w:rsid w:val="08D72A91"/>
    <w:rsid w:val="0A7648BF"/>
    <w:rsid w:val="0A7A49BE"/>
    <w:rsid w:val="0A922065"/>
    <w:rsid w:val="0ACC294E"/>
    <w:rsid w:val="0BB44D87"/>
    <w:rsid w:val="0BED0F30"/>
    <w:rsid w:val="0CD8520D"/>
    <w:rsid w:val="0DD40EBD"/>
    <w:rsid w:val="0E367C5D"/>
    <w:rsid w:val="0EB9159E"/>
    <w:rsid w:val="0ED158DD"/>
    <w:rsid w:val="11604C92"/>
    <w:rsid w:val="11D129C7"/>
    <w:rsid w:val="12236F4E"/>
    <w:rsid w:val="13057541"/>
    <w:rsid w:val="1364390A"/>
    <w:rsid w:val="137E5A09"/>
    <w:rsid w:val="15984173"/>
    <w:rsid w:val="16A15FDC"/>
    <w:rsid w:val="18D9776F"/>
    <w:rsid w:val="19A91D8B"/>
    <w:rsid w:val="19C7017F"/>
    <w:rsid w:val="19CE05F3"/>
    <w:rsid w:val="1B65127F"/>
    <w:rsid w:val="1BA911BF"/>
    <w:rsid w:val="1CB317C0"/>
    <w:rsid w:val="1E5577E4"/>
    <w:rsid w:val="1E6C1078"/>
    <w:rsid w:val="1F9F6471"/>
    <w:rsid w:val="1FCF11BE"/>
    <w:rsid w:val="20282B52"/>
    <w:rsid w:val="20372402"/>
    <w:rsid w:val="20814F9D"/>
    <w:rsid w:val="208805ED"/>
    <w:rsid w:val="20F766A2"/>
    <w:rsid w:val="21F33724"/>
    <w:rsid w:val="22ED6B5D"/>
    <w:rsid w:val="25DF10AE"/>
    <w:rsid w:val="26121144"/>
    <w:rsid w:val="27DC69EE"/>
    <w:rsid w:val="293D4DB6"/>
    <w:rsid w:val="29EC29E9"/>
    <w:rsid w:val="2A552882"/>
    <w:rsid w:val="2BD8717A"/>
    <w:rsid w:val="2C7F23A1"/>
    <w:rsid w:val="2CB20162"/>
    <w:rsid w:val="2D2B45A9"/>
    <w:rsid w:val="2E8A1F67"/>
    <w:rsid w:val="2FCE1F78"/>
    <w:rsid w:val="31174DA4"/>
    <w:rsid w:val="31E51409"/>
    <w:rsid w:val="322004C0"/>
    <w:rsid w:val="32886F74"/>
    <w:rsid w:val="330C088E"/>
    <w:rsid w:val="33552E44"/>
    <w:rsid w:val="3555506A"/>
    <w:rsid w:val="37187417"/>
    <w:rsid w:val="37764AE1"/>
    <w:rsid w:val="386E76A4"/>
    <w:rsid w:val="38A21551"/>
    <w:rsid w:val="38D60096"/>
    <w:rsid w:val="3B8D0A22"/>
    <w:rsid w:val="3C0E0A5C"/>
    <w:rsid w:val="3CCE58E4"/>
    <w:rsid w:val="3EC83B67"/>
    <w:rsid w:val="3F0D09C6"/>
    <w:rsid w:val="3F3E1E72"/>
    <w:rsid w:val="3FE206D5"/>
    <w:rsid w:val="40BB4940"/>
    <w:rsid w:val="40C377CE"/>
    <w:rsid w:val="40F7706F"/>
    <w:rsid w:val="41C932CA"/>
    <w:rsid w:val="43247753"/>
    <w:rsid w:val="43394480"/>
    <w:rsid w:val="44767BDF"/>
    <w:rsid w:val="44FF5255"/>
    <w:rsid w:val="46CC1F51"/>
    <w:rsid w:val="46ED24A2"/>
    <w:rsid w:val="487E0D7E"/>
    <w:rsid w:val="4AD7736C"/>
    <w:rsid w:val="4B3621F1"/>
    <w:rsid w:val="4B8A3F84"/>
    <w:rsid w:val="4CD27092"/>
    <w:rsid w:val="4D416DCE"/>
    <w:rsid w:val="4D594475"/>
    <w:rsid w:val="4DD96992"/>
    <w:rsid w:val="4DF27705"/>
    <w:rsid w:val="4EA24A37"/>
    <w:rsid w:val="4FDF2F1A"/>
    <w:rsid w:val="514E65F3"/>
    <w:rsid w:val="532C2301"/>
    <w:rsid w:val="53A71C4B"/>
    <w:rsid w:val="554C3600"/>
    <w:rsid w:val="572A2B91"/>
    <w:rsid w:val="578135A0"/>
    <w:rsid w:val="58BC54DF"/>
    <w:rsid w:val="58C50958"/>
    <w:rsid w:val="5ACF2987"/>
    <w:rsid w:val="5CCE66D5"/>
    <w:rsid w:val="5E3A5D61"/>
    <w:rsid w:val="5F3131BC"/>
    <w:rsid w:val="5FD0250C"/>
    <w:rsid w:val="603B0CB0"/>
    <w:rsid w:val="60541D9A"/>
    <w:rsid w:val="60BD0047"/>
    <w:rsid w:val="620C10EB"/>
    <w:rsid w:val="624C0D43"/>
    <w:rsid w:val="63504103"/>
    <w:rsid w:val="636C18B0"/>
    <w:rsid w:val="63F97611"/>
    <w:rsid w:val="64805613"/>
    <w:rsid w:val="65B3796C"/>
    <w:rsid w:val="65C43ABE"/>
    <w:rsid w:val="665A5356"/>
    <w:rsid w:val="6684087E"/>
    <w:rsid w:val="67125837"/>
    <w:rsid w:val="679A112F"/>
    <w:rsid w:val="679D5A27"/>
    <w:rsid w:val="681151C8"/>
    <w:rsid w:val="6BC309B6"/>
    <w:rsid w:val="6D6E1218"/>
    <w:rsid w:val="6F81462B"/>
    <w:rsid w:val="6F9C23FB"/>
    <w:rsid w:val="70EF3E1D"/>
    <w:rsid w:val="728C4397"/>
    <w:rsid w:val="729713FF"/>
    <w:rsid w:val="73BF0E77"/>
    <w:rsid w:val="73FD7D23"/>
    <w:rsid w:val="74B46F86"/>
    <w:rsid w:val="74BC5500"/>
    <w:rsid w:val="7505015D"/>
    <w:rsid w:val="751F6501"/>
    <w:rsid w:val="759E7B54"/>
    <w:rsid w:val="76542E2F"/>
    <w:rsid w:val="76B367FD"/>
    <w:rsid w:val="776F2970"/>
    <w:rsid w:val="78047EB1"/>
    <w:rsid w:val="78417632"/>
    <w:rsid w:val="78845FAE"/>
    <w:rsid w:val="7AAC00BD"/>
    <w:rsid w:val="7AFC5AB2"/>
    <w:rsid w:val="7B4836CD"/>
    <w:rsid w:val="7D6C7155"/>
    <w:rsid w:val="7D997FC8"/>
    <w:rsid w:val="7DC1309B"/>
    <w:rsid w:val="7DF870B2"/>
    <w:rsid w:val="7E2F6E92"/>
    <w:rsid w:val="7EBF280F"/>
    <w:rsid w:val="7F0326EE"/>
    <w:rsid w:val="7F673200"/>
    <w:rsid w:val="7FB1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List 2"/>
    <w:basedOn w:val="8"/>
    <w:qFormat/>
    <w:uiPriority w:val="0"/>
    <w:pPr>
      <w:ind w:left="851"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11">
    <w:name w:val="Table Grid"/>
    <w:basedOn w:val="10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6">
    <w:name w:val="TAH"/>
    <w:basedOn w:val="17"/>
    <w:qFormat/>
    <w:uiPriority w:val="0"/>
    <w:rPr>
      <w:b/>
    </w:rPr>
  </w:style>
  <w:style w:type="paragraph" w:customStyle="1" w:styleId="17">
    <w:name w:val="TAC"/>
    <w:basedOn w:val="18"/>
    <w:qFormat/>
    <w:uiPriority w:val="0"/>
    <w:pPr>
      <w:jc w:val="center"/>
    </w:pPr>
  </w:style>
  <w:style w:type="paragraph" w:customStyle="1" w:styleId="1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9">
    <w:name w:val="TAN"/>
    <w:basedOn w:val="18"/>
    <w:qFormat/>
    <w:uiPriority w:val="0"/>
    <w:pPr>
      <w:ind w:left="851" w:hanging="851"/>
    </w:pPr>
  </w:style>
  <w:style w:type="paragraph" w:customStyle="1" w:styleId="20">
    <w:name w:val="B2"/>
    <w:basedOn w:val="7"/>
    <w:qFormat/>
    <w:uiPriority w:val="0"/>
  </w:style>
  <w:style w:type="paragraph" w:customStyle="1" w:styleId="21">
    <w:name w:val="0 Main text"/>
    <w:basedOn w:val="1"/>
    <w:qFormat/>
    <w:uiPriority w:val="0"/>
    <w:pPr>
      <w:jc w:val="both"/>
    </w:pPr>
    <w:rPr>
      <w:rFonts w:ascii="Times New Roman" w:hAnsi="Times New Roman" w:eastAsia="Malgun Gothic"/>
      <w:szCs w:val="20"/>
    </w:rPr>
  </w:style>
  <w:style w:type="paragraph" w:customStyle="1" w:styleId="22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2024-11-01T08:46:00Z</dcterms:created>
  <dc:creator>cmcc</dc:creator>
  <cp:lastModifiedBy>CMCC-Jingjing</cp:lastModifiedBy>
  <dcterms:modified xsi:type="dcterms:W3CDTF">2025-10-02T02:18:17Z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D7914810C25943A9B23237FB063E3B17</vt:lpwstr>
  </property>
</Properties>
</file>